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607" w:rsidRPr="006F1607" w:rsidRDefault="006F1607" w:rsidP="006F1607">
      <w:pPr>
        <w:ind w:left="1843" w:right="1983"/>
        <w:jc w:val="both"/>
        <w:rPr>
          <w:rFonts w:ascii="Tahoma" w:hAnsi="Tahoma" w:cs="Tahoma"/>
          <w:i/>
          <w:sz w:val="21"/>
          <w:szCs w:val="21"/>
        </w:rPr>
      </w:pPr>
      <w:r w:rsidRPr="006F1607">
        <w:rPr>
          <w:rFonts w:ascii="Tahoma" w:hAnsi="Tahoma" w:cs="Tahoma"/>
          <w:b/>
          <w:i/>
          <w:sz w:val="21"/>
          <w:szCs w:val="21"/>
        </w:rPr>
        <w:t>Sumilla   :</w:t>
      </w:r>
      <w:r w:rsidRPr="006F1607">
        <w:rPr>
          <w:rFonts w:ascii="Tahoma" w:hAnsi="Tahoma" w:cs="Tahoma"/>
          <w:i/>
          <w:sz w:val="21"/>
          <w:szCs w:val="21"/>
        </w:rPr>
        <w:t xml:space="preserve"> </w:t>
      </w:r>
      <w:r w:rsidRPr="006F1607">
        <w:rPr>
          <w:rFonts w:ascii="Tahoma" w:hAnsi="Tahoma" w:cs="Tahoma"/>
          <w:i/>
          <w:sz w:val="21"/>
          <w:szCs w:val="21"/>
        </w:rPr>
        <w:tab/>
        <w:t xml:space="preserve">“Si la Entidad no observó el procedimiento para la resolución del contrato </w:t>
      </w:r>
      <w:r>
        <w:rPr>
          <w:rFonts w:ascii="Tahoma" w:hAnsi="Tahoma" w:cs="Tahoma"/>
          <w:i/>
          <w:sz w:val="21"/>
          <w:szCs w:val="21"/>
        </w:rPr>
        <w:t>corresponde</w:t>
      </w:r>
      <w:r w:rsidRPr="006F1607">
        <w:rPr>
          <w:rFonts w:ascii="Tahoma" w:hAnsi="Tahoma" w:cs="Tahoma"/>
          <w:i/>
          <w:sz w:val="21"/>
          <w:szCs w:val="21"/>
        </w:rPr>
        <w:t xml:space="preserve"> declarar no ha lugar a la imposición de sanción contra la Contratista”</w:t>
      </w:r>
    </w:p>
    <w:p w:rsidR="006F1607" w:rsidRPr="006F1607" w:rsidRDefault="006F1607" w:rsidP="006F1607">
      <w:pPr>
        <w:pStyle w:val="Textoindependiente3"/>
        <w:spacing w:after="0"/>
        <w:rPr>
          <w:rFonts w:ascii="Tahoma" w:hAnsi="Tahoma" w:cs="Tahoma"/>
          <w:i/>
          <w:sz w:val="21"/>
          <w:szCs w:val="21"/>
          <w:lang w:val="es-ES"/>
        </w:rPr>
      </w:pPr>
    </w:p>
    <w:p w:rsidR="006F1607" w:rsidRDefault="006F1607" w:rsidP="006F1607">
      <w:pPr>
        <w:pStyle w:val="Textoindependiente3"/>
        <w:spacing w:after="0"/>
        <w:ind w:left="5387"/>
        <w:jc w:val="both"/>
        <w:rPr>
          <w:rFonts w:ascii="Tahoma" w:hAnsi="Tahoma" w:cs="Tahoma"/>
          <w:b/>
          <w:sz w:val="21"/>
          <w:szCs w:val="21"/>
        </w:rPr>
      </w:pPr>
    </w:p>
    <w:p w:rsidR="006F1607" w:rsidRPr="006F1607" w:rsidRDefault="006F1607" w:rsidP="006F1607">
      <w:pPr>
        <w:pStyle w:val="Textoindependiente3"/>
        <w:spacing w:after="0"/>
        <w:ind w:left="5387"/>
        <w:jc w:val="both"/>
        <w:rPr>
          <w:rFonts w:ascii="Tahoma" w:hAnsi="Tahoma" w:cs="Tahoma"/>
          <w:b/>
          <w:sz w:val="21"/>
          <w:szCs w:val="21"/>
        </w:rPr>
      </w:pPr>
      <w:r w:rsidRPr="006F1607">
        <w:rPr>
          <w:rFonts w:ascii="Tahoma" w:hAnsi="Tahoma" w:cs="Tahoma"/>
          <w:b/>
          <w:sz w:val="21"/>
          <w:szCs w:val="21"/>
        </w:rPr>
        <w:t>Lima,</w:t>
      </w:r>
      <w:r w:rsidR="00DE6A44">
        <w:rPr>
          <w:rFonts w:ascii="Tahoma" w:hAnsi="Tahoma" w:cs="Tahoma"/>
          <w:b/>
          <w:sz w:val="21"/>
          <w:szCs w:val="21"/>
        </w:rPr>
        <w:t xml:space="preserve"> 30 de Marzo de 2011</w:t>
      </w:r>
    </w:p>
    <w:p w:rsidR="006F1607" w:rsidRPr="006F1607" w:rsidRDefault="006F1607" w:rsidP="006F1607">
      <w:pPr>
        <w:pStyle w:val="Textoindependiente3"/>
        <w:spacing w:after="0"/>
        <w:ind w:left="5387"/>
        <w:jc w:val="both"/>
        <w:rPr>
          <w:rFonts w:ascii="Tahoma" w:hAnsi="Tahoma" w:cs="Tahoma"/>
          <w:b/>
          <w:sz w:val="21"/>
          <w:szCs w:val="21"/>
        </w:rPr>
      </w:pPr>
    </w:p>
    <w:p w:rsidR="006F1607" w:rsidRPr="006F1607" w:rsidRDefault="006F1607" w:rsidP="006F1607">
      <w:pPr>
        <w:ind w:firstLine="567"/>
        <w:contextualSpacing/>
        <w:jc w:val="both"/>
        <w:rPr>
          <w:rFonts w:ascii="Tahoma" w:hAnsi="Tahoma" w:cs="Tahoma"/>
          <w:sz w:val="21"/>
          <w:szCs w:val="21"/>
          <w:lang w:val="pt-PT"/>
        </w:rPr>
      </w:pPr>
      <w:r w:rsidRPr="006F1607">
        <w:rPr>
          <w:rFonts w:ascii="Tahoma" w:hAnsi="Tahoma" w:cs="Tahoma"/>
          <w:b/>
          <w:sz w:val="21"/>
          <w:szCs w:val="21"/>
        </w:rPr>
        <w:t xml:space="preserve">Visto </w:t>
      </w:r>
      <w:r>
        <w:rPr>
          <w:rFonts w:ascii="Tahoma" w:hAnsi="Tahoma" w:cs="Tahoma"/>
          <w:sz w:val="21"/>
          <w:szCs w:val="21"/>
        </w:rPr>
        <w:t>en sesión de fecha 30 de marzo</w:t>
      </w:r>
      <w:r w:rsidRPr="006F1607">
        <w:rPr>
          <w:rFonts w:ascii="Tahoma" w:hAnsi="Tahoma" w:cs="Tahoma"/>
          <w:sz w:val="21"/>
          <w:szCs w:val="21"/>
        </w:rPr>
        <w:t xml:space="preserve"> de 2011 la Primera Sala del Tribunal de Contrataciones </w:t>
      </w:r>
      <w:r>
        <w:rPr>
          <w:rFonts w:ascii="Tahoma" w:hAnsi="Tahoma" w:cs="Tahoma"/>
          <w:sz w:val="21"/>
          <w:szCs w:val="21"/>
        </w:rPr>
        <w:t>del Estado el Expediente N° 1274</w:t>
      </w:r>
      <w:r w:rsidRPr="006F1607">
        <w:rPr>
          <w:rFonts w:ascii="Tahoma" w:hAnsi="Tahoma" w:cs="Tahoma"/>
          <w:sz w:val="21"/>
          <w:szCs w:val="21"/>
        </w:rPr>
        <w:t xml:space="preserve">.2010-TC; sobre el procedimiento administrativo sancionador iniciado contra la empresa INLEMED S.A.C., por supuesta responsabilidad al haber </w:t>
      </w:r>
      <w:r>
        <w:rPr>
          <w:rFonts w:ascii="Tahoma" w:hAnsi="Tahoma" w:cs="Tahoma"/>
          <w:sz w:val="21"/>
          <w:szCs w:val="21"/>
        </w:rPr>
        <w:t xml:space="preserve">dado lugar a </w:t>
      </w:r>
      <w:r w:rsidRPr="006F1607">
        <w:rPr>
          <w:rFonts w:ascii="Tahoma" w:hAnsi="Tahoma" w:cs="Tahoma"/>
          <w:sz w:val="21"/>
          <w:szCs w:val="21"/>
        </w:rPr>
        <w:t>la resolución de la ORDEN DE SERVICIO – GUIA DE INTERNAMIENTO Nº 74, derivado de la Adjudicación por Menor Cuantía Nº 19-2009-IN/PNP-DIRSAL.-UE.020</w:t>
      </w:r>
      <w:r w:rsidRPr="006F1607">
        <w:rPr>
          <w:rFonts w:ascii="Tahoma" w:hAnsi="Tahoma" w:cs="Tahoma"/>
          <w:sz w:val="21"/>
          <w:szCs w:val="21"/>
          <w:lang w:val="pt-PT"/>
        </w:rPr>
        <w:t>.</w:t>
      </w:r>
    </w:p>
    <w:p w:rsidR="006F1607" w:rsidRPr="006F1607" w:rsidRDefault="006F1607" w:rsidP="006F1607">
      <w:pPr>
        <w:ind w:firstLine="567"/>
        <w:contextualSpacing/>
        <w:jc w:val="both"/>
        <w:rPr>
          <w:rFonts w:ascii="Tahoma" w:hAnsi="Tahoma" w:cs="Tahoma"/>
          <w:b/>
          <w:sz w:val="21"/>
          <w:szCs w:val="21"/>
          <w:lang w:val="es-ES_tradnl"/>
        </w:rPr>
      </w:pPr>
    </w:p>
    <w:p w:rsidR="006F1607" w:rsidRPr="006F1607" w:rsidRDefault="006F1607" w:rsidP="006F1607">
      <w:pPr>
        <w:pStyle w:val="Prrafodelista"/>
        <w:numPr>
          <w:ilvl w:val="0"/>
          <w:numId w:val="1"/>
        </w:numPr>
        <w:ind w:left="567" w:hanging="425"/>
        <w:rPr>
          <w:rFonts w:ascii="Tahoma" w:hAnsi="Tahoma" w:cs="Tahoma"/>
          <w:b/>
          <w:sz w:val="21"/>
          <w:szCs w:val="21"/>
        </w:rPr>
      </w:pPr>
      <w:r w:rsidRPr="006F1607">
        <w:rPr>
          <w:rFonts w:ascii="Tahoma" w:hAnsi="Tahoma" w:cs="Tahoma"/>
          <w:b/>
          <w:sz w:val="21"/>
          <w:szCs w:val="21"/>
        </w:rPr>
        <w:t>ANTECEDENTES:</w:t>
      </w:r>
    </w:p>
    <w:p w:rsidR="006F1607" w:rsidRPr="006F1607" w:rsidRDefault="006F1607" w:rsidP="006F1607">
      <w:pPr>
        <w:jc w:val="both"/>
        <w:rPr>
          <w:rFonts w:ascii="Tahoma" w:hAnsi="Tahoma" w:cs="Tahoma"/>
          <w:b/>
          <w:sz w:val="21"/>
          <w:szCs w:val="21"/>
          <w:lang w:eastAsia="es-PE"/>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 xml:space="preserve">El 09 de junio del 2009, la </w:t>
      </w:r>
      <w:r w:rsidRPr="006F1607">
        <w:rPr>
          <w:rFonts w:ascii="Tahoma" w:hAnsi="Tahoma" w:cs="Tahoma"/>
          <w:sz w:val="21"/>
          <w:szCs w:val="21"/>
          <w:lang w:val="es-PE"/>
        </w:rPr>
        <w:t>DIRECCIÓN DE SALUD DE LA POLICIA NACIONAL – UNIDAD EJECUTORA 020</w:t>
      </w:r>
      <w:r w:rsidRPr="006F1607">
        <w:rPr>
          <w:rFonts w:ascii="Tahoma" w:hAnsi="Tahoma" w:cs="Tahoma"/>
          <w:sz w:val="21"/>
          <w:szCs w:val="21"/>
        </w:rPr>
        <w:t>, en lo sucesivo la Entidad, convocó a la Adjudicación por Menor Cuantía Nº 19-2009-IN/PNP-DIRSAL.-UE.020, para la “Contratación del servicio de reparación, mantenimiento y calibración general de equipo procesadora automática de películas radiográficas MCA AGFA, modelo classic eos de la División de Diagnóstico por imágenes del HN PNP LNS”</w:t>
      </w:r>
      <w:r w:rsidRPr="006F1607">
        <w:rPr>
          <w:rFonts w:ascii="Tahoma" w:hAnsi="Tahoma" w:cs="Tahoma"/>
          <w:bCs/>
          <w:sz w:val="21"/>
          <w:szCs w:val="21"/>
        </w:rPr>
        <w:t>”</w:t>
      </w:r>
      <w:r w:rsidRPr="006F1607">
        <w:rPr>
          <w:rFonts w:ascii="Tahoma" w:hAnsi="Tahoma" w:cs="Tahoma"/>
          <w:sz w:val="21"/>
          <w:szCs w:val="21"/>
        </w:rPr>
        <w:t>, por un valor referencial ascendente a S/. 14,800.00 (Catorce mil Ochocientos con 00/100 Nuevos Soles).</w:t>
      </w:r>
    </w:p>
    <w:p w:rsidR="006F1607" w:rsidRPr="006F1607" w:rsidRDefault="006F1607" w:rsidP="006F1607">
      <w:pPr>
        <w:pStyle w:val="Prrafodelista"/>
        <w:ind w:left="567"/>
        <w:contextualSpacing/>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Con fecha 16 de junio del 2009, el Comité Especial otorgó la buena pro del acotado proceso de selección a favor de la empresa INLEMED S.A.C., en adelante la Contratista.</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El 06 de julio de 2009, la Entidad emitió la ORDEN DE SERVICIO – GUIA DE INTERNAMIENTO Nº 74, a fin que la Contratista cumpla con realizar el servicio de reparación, mantenimiento y calibración general del equipo procesador Marca AGFA, Modelo CLASIC – EOS.</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Con Carta Nº 077-GL-INLEMED SAC-2009 de fecha 12 de agosto del 2009, la Contratista solicitó a la Entidad una ampliación de diez (10) días, a fin de poder entregar el acotado equipo.</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Mediante Carta Nº 002-2009-DIRSAL-PNP/DIREJASS-DIVLOG/SEC.UE.020 de fecha 17 de agosto del 2009, la Entidad comunicó a la Contratista que no es viable la ampliación del plazo solicitada, en virtud a que no se encuentra comprendido dentro de los supuestos que establece el artículo 175 del Reglamento de la Ley de Contrataciones del Estado, aprobado mediante Decreto Supremo Nº 184-2008-EF.</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 xml:space="preserve">A través de la CARTA NOTARIAL Nº 117121 notificada notarialmente el 24 de setiembre del 2009, se le solicitó a la Contratista que en el plazo de 05 cinco días hábiles, cumpla con lo pactado y en caso de incumplimiento, se procederá a </w:t>
      </w:r>
      <w:r w:rsidRPr="006F1607">
        <w:rPr>
          <w:rFonts w:ascii="Tahoma" w:hAnsi="Tahoma" w:cs="Tahoma"/>
          <w:sz w:val="21"/>
          <w:szCs w:val="21"/>
        </w:rPr>
        <w:lastRenderedPageBreak/>
        <w:t>DENUNCIAR ante el OSCE y a la Procuraduría Pública a cargo de Asuntos Judiciales del Ministerio del Interior, así como a la inhabilitación de su Empresa en el Listado de Proveedores de la Entidad y todas las Entidades Pública, según las Normas vigentes del OSCE.</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Mediante Carta Nº 101-GL-INLEMED SAC – 2009 de fecha 12 de octubre del 2009, la Contratista comunicó a la Entidad que debido a problemas sobre carga en aduanas así como los feriados largos, han retrasado la mercadería para efectuar el cambio necesario de los repuestos en el equipo; asimismo, informó que la reparación que se pretende realizar para poner en óptimo funcionamiento dicho equipo, no era lo que había ofertado, tales como el cambio de tarjeta principal; control general del sistema y el cambio de bombas de agua y sistemas químicos.</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A través de la Carta Nº 114-GL-INLEMED SAC 2009 de fecha 04 de noviembre del 2009, la Contratista informó a la Entidad que se está haciendo la adaptación de la tarjeta principal que han importado, la misma que tiene diferentes modificaciones en la procesadora, como en sus circuiterías y conexiones, al encontrarse dicho equipo desactualizado en el mercado nacional e internacional, sin embargo, sin dicha tarjeta el equipo no quedaría en óptimo funcionamiento, por lo tanto, solicitó la espera que les demande el tiempo para la adaptación de dicha tarjeta principal.</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Con CARTA NOTARIAL Nº 118910 notificada notarialmente el 17 de noviembre de 2009, la Entidad resolvió la ORDEN DE SERVICIO – GUIA DE INTERNAMIENTO Nº 74, por incumplimiento de sus obligaciones contractuales de la Contratista, pese a haber sido requerido para ello.</w:t>
      </w:r>
    </w:p>
    <w:p w:rsidR="006F1607" w:rsidRPr="006F1607" w:rsidRDefault="006F1607" w:rsidP="006F1607">
      <w:pPr>
        <w:contextualSpacing/>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Mediante escrito y Formulario de Aplicación de Sanción presentados el 17 de setiembre del 2010, la Entidad puso en conocimiento del Tribunal de Contrataciones del Estado, en adelante el Tribunal, la supuesta infracción cometida por la Contratista, consistente en haber dado lugar a la resolución de la ORDEN DE SERVICIO – GUIA DE INTERNAMIENTO Nº 74.</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A través del decreto de fecha 21 de setiembre de 2010, se inicio procedimiento administrativo sancionador contra la Contratista, por supuesta responsabilidad al haber dado lugar a la resolución de la ORDEN DE SERVICIO – GUIA DE INTERNAMIENTO Nº 74. Asimismo, se le otorgó un plazo de diez (10) días hábiles, a fin que cumpla con presentar sus descargos.</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Con decreto de fecha 15 de octubre del 2010, se hizo efectivo el apercibimiento de resolver con la documentación obrante en autos, teniendo en consideración que la Contratista no cumplió con remitir sus descargos dentro del plazo otorgado mediante decreto de fecha 21 de setiembre del 2010, remitiéndose el presente expediente a la Primera Sala del Tribunal.</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A través del escrito de fecha 28 de octubre del 2010, la Contratista señaló lo siguiente:</w:t>
      </w:r>
    </w:p>
    <w:p w:rsidR="006F1607" w:rsidRPr="006F1607" w:rsidRDefault="006F1607" w:rsidP="006F1607">
      <w:pPr>
        <w:rPr>
          <w:rFonts w:ascii="Tahoma" w:hAnsi="Tahoma" w:cs="Tahoma"/>
          <w:sz w:val="21"/>
          <w:szCs w:val="21"/>
        </w:rPr>
      </w:pPr>
    </w:p>
    <w:p w:rsidR="006F1607" w:rsidRPr="006F1607" w:rsidRDefault="006F1607" w:rsidP="006F1607">
      <w:pPr>
        <w:pStyle w:val="Prrafodelista"/>
        <w:numPr>
          <w:ilvl w:val="0"/>
          <w:numId w:val="7"/>
        </w:numPr>
        <w:ind w:left="1134" w:hanging="567"/>
        <w:jc w:val="both"/>
        <w:rPr>
          <w:rFonts w:ascii="Tahoma" w:hAnsi="Tahoma" w:cs="Tahoma"/>
          <w:sz w:val="21"/>
          <w:szCs w:val="21"/>
        </w:rPr>
      </w:pPr>
      <w:r w:rsidRPr="006F1607">
        <w:rPr>
          <w:rFonts w:ascii="Tahoma" w:hAnsi="Tahoma" w:cs="Tahoma"/>
          <w:sz w:val="21"/>
          <w:szCs w:val="21"/>
        </w:rPr>
        <w:lastRenderedPageBreak/>
        <w:t>La demora en la prestación del servicio obedece principalmente a que parte del equipo que no era incluido en la reparación se encontraba averiado, como en el caso de la Tarjeta Principal.</w:t>
      </w:r>
    </w:p>
    <w:p w:rsidR="006F1607" w:rsidRPr="006F1607" w:rsidRDefault="006F1607" w:rsidP="006F1607">
      <w:pPr>
        <w:pStyle w:val="Prrafodelista"/>
        <w:ind w:left="1134"/>
        <w:jc w:val="both"/>
        <w:rPr>
          <w:rFonts w:ascii="Tahoma" w:hAnsi="Tahoma" w:cs="Tahoma"/>
          <w:sz w:val="21"/>
          <w:szCs w:val="21"/>
        </w:rPr>
      </w:pPr>
    </w:p>
    <w:p w:rsidR="006F1607" w:rsidRPr="006F1607" w:rsidRDefault="006F1607" w:rsidP="006F1607">
      <w:pPr>
        <w:pStyle w:val="Prrafodelista"/>
        <w:numPr>
          <w:ilvl w:val="0"/>
          <w:numId w:val="7"/>
        </w:numPr>
        <w:ind w:left="1134" w:hanging="567"/>
        <w:jc w:val="both"/>
        <w:rPr>
          <w:rFonts w:ascii="Tahoma" w:hAnsi="Tahoma" w:cs="Tahoma"/>
          <w:sz w:val="21"/>
          <w:szCs w:val="21"/>
        </w:rPr>
      </w:pPr>
      <w:r w:rsidRPr="006F1607">
        <w:rPr>
          <w:rFonts w:ascii="Tahoma" w:hAnsi="Tahoma" w:cs="Tahoma"/>
          <w:sz w:val="21"/>
          <w:szCs w:val="21"/>
        </w:rPr>
        <w:t xml:space="preserve">Su voluntad fue adquirir una nueva Tarjeta Principal sin costo alguno para la Entidad, no obstante ello, la que habían adquirido no se adaptaba al equipo, por lo que solicitó a la Entidad su adquisición, no obstante ello, no se pronuncio al respecto. </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numPr>
          <w:ilvl w:val="0"/>
          <w:numId w:val="7"/>
        </w:numPr>
        <w:ind w:left="1134" w:hanging="567"/>
        <w:jc w:val="both"/>
        <w:rPr>
          <w:rFonts w:ascii="Tahoma" w:hAnsi="Tahoma" w:cs="Tahoma"/>
          <w:sz w:val="21"/>
          <w:szCs w:val="21"/>
        </w:rPr>
      </w:pPr>
      <w:r w:rsidRPr="006F1607">
        <w:rPr>
          <w:rFonts w:ascii="Tahoma" w:hAnsi="Tahoma" w:cs="Tahoma"/>
          <w:sz w:val="21"/>
          <w:szCs w:val="21"/>
        </w:rPr>
        <w:t>Por otro lado, señaló que les causa sorpresa que les resuelva el contrato sin antes hacer el apercibimiento de Ley, tal como lo establece el artículo 169 del Reglamento de la Ley de Contrataciones del Estado, aprobado por Decreto Supremo Nº 184-2008-EF.</w:t>
      </w:r>
    </w:p>
    <w:p w:rsidR="006F1607" w:rsidRPr="006F1607" w:rsidRDefault="006F1607" w:rsidP="006F1607">
      <w:pPr>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Mediante decreto de fecha 03 de noviembre del 2010, se solicitó a la Contratista que subsanara su escrito presentado el 28 de octubre del 2010, a fin que señale sus fundamentos de hecho y de derecho, así como su domicilio procesal en la ciudad de Lima.</w:t>
      </w:r>
    </w:p>
    <w:p w:rsidR="006F1607" w:rsidRPr="006F1607" w:rsidRDefault="006F1607" w:rsidP="006F1607">
      <w:pPr>
        <w:pStyle w:val="Prrafodelista"/>
        <w:widowControl/>
        <w:suppressAutoHyphens w:val="0"/>
        <w:ind w:left="567"/>
        <w:contextualSpacing/>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A través del escrito presentado el 23 de noviembre del 2010, la Contratista informó lo siguiente:</w:t>
      </w:r>
    </w:p>
    <w:p w:rsidR="006F1607" w:rsidRPr="006F1607" w:rsidRDefault="006F1607" w:rsidP="006F1607">
      <w:pPr>
        <w:pStyle w:val="Prrafodelista"/>
        <w:rPr>
          <w:rFonts w:ascii="Tahoma" w:hAnsi="Tahoma" w:cs="Tahoma"/>
          <w:sz w:val="21"/>
          <w:szCs w:val="21"/>
        </w:rPr>
      </w:pPr>
    </w:p>
    <w:p w:rsidR="006F1607" w:rsidRPr="006F1607" w:rsidRDefault="006F1607" w:rsidP="006F1607">
      <w:pPr>
        <w:pStyle w:val="Prrafodelista"/>
        <w:widowControl/>
        <w:numPr>
          <w:ilvl w:val="0"/>
          <w:numId w:val="8"/>
        </w:numPr>
        <w:suppressAutoHyphens w:val="0"/>
        <w:ind w:left="1134" w:hanging="567"/>
        <w:contextualSpacing/>
        <w:jc w:val="both"/>
        <w:rPr>
          <w:rFonts w:ascii="Tahoma" w:hAnsi="Tahoma" w:cs="Tahoma"/>
          <w:sz w:val="21"/>
          <w:szCs w:val="21"/>
        </w:rPr>
      </w:pPr>
      <w:r w:rsidRPr="006F1607">
        <w:rPr>
          <w:rFonts w:ascii="Tahoma" w:hAnsi="Tahoma" w:cs="Tahoma"/>
          <w:sz w:val="21"/>
          <w:szCs w:val="21"/>
        </w:rPr>
        <w:t>La ampliación del plazo solicitado a la Entidad, se justifica en el hecho que para el mantenimiento requerido del equipo, se debió importar los repuestos que en el mercado nacional no existen, por lo que dicha situación genera necesariamente un cado de fuerza mayor.</w:t>
      </w:r>
    </w:p>
    <w:p w:rsidR="006F1607" w:rsidRPr="006F1607" w:rsidRDefault="006F1607" w:rsidP="006F1607">
      <w:pPr>
        <w:pStyle w:val="Prrafodelista"/>
        <w:widowControl/>
        <w:suppressAutoHyphens w:val="0"/>
        <w:ind w:left="1134" w:hanging="567"/>
        <w:contextualSpacing/>
        <w:jc w:val="both"/>
        <w:rPr>
          <w:rFonts w:ascii="Tahoma" w:hAnsi="Tahoma" w:cs="Tahoma"/>
          <w:sz w:val="21"/>
          <w:szCs w:val="21"/>
        </w:rPr>
      </w:pPr>
    </w:p>
    <w:p w:rsidR="006F1607" w:rsidRPr="006F1607" w:rsidRDefault="006F1607" w:rsidP="006F1607">
      <w:pPr>
        <w:pStyle w:val="Prrafodelista"/>
        <w:widowControl/>
        <w:numPr>
          <w:ilvl w:val="0"/>
          <w:numId w:val="8"/>
        </w:numPr>
        <w:suppressAutoHyphens w:val="0"/>
        <w:ind w:left="1134" w:hanging="567"/>
        <w:contextualSpacing/>
        <w:jc w:val="both"/>
        <w:rPr>
          <w:rFonts w:ascii="Tahoma" w:hAnsi="Tahoma" w:cs="Tahoma"/>
          <w:sz w:val="21"/>
          <w:szCs w:val="21"/>
        </w:rPr>
      </w:pPr>
      <w:r w:rsidRPr="006F1607">
        <w:rPr>
          <w:rFonts w:ascii="Tahoma" w:hAnsi="Tahoma" w:cs="Tahoma"/>
          <w:sz w:val="21"/>
          <w:szCs w:val="21"/>
        </w:rPr>
        <w:t>Mediante Carta Nº 114-GL-INLEMED SAC – 2009 de fecha 04 de noviembre del 2009, se le indicó a la Entidad el inconveniente de la tarjeta principal que habían importado, es decir que no se adaptaba al equipo que ya estaba desactualizado, por lo que se estaban efectuando los cambios necesarios; no obstante ello, también se le informó que debían importar la Tarjeta a su costo, para que el equipo funcione óptimamente, situación que trajo como consecuencia la resolución del contrato, a pesar que nunca fue su responsabilidad el cambio y/o reparación de la tarjeta principal.</w:t>
      </w:r>
    </w:p>
    <w:p w:rsidR="006F1607" w:rsidRPr="006F1607" w:rsidRDefault="006F1607" w:rsidP="006F1607">
      <w:pPr>
        <w:pStyle w:val="Prrafodelista"/>
        <w:widowControl/>
        <w:suppressAutoHyphens w:val="0"/>
        <w:ind w:left="1134" w:hanging="567"/>
        <w:contextualSpacing/>
        <w:jc w:val="both"/>
        <w:rPr>
          <w:rFonts w:ascii="Tahoma" w:hAnsi="Tahoma" w:cs="Tahoma"/>
          <w:sz w:val="21"/>
          <w:szCs w:val="21"/>
        </w:rPr>
      </w:pPr>
    </w:p>
    <w:p w:rsidR="006F1607" w:rsidRPr="006F1607" w:rsidRDefault="006F1607" w:rsidP="006F1607">
      <w:pPr>
        <w:pStyle w:val="Prrafodelista"/>
        <w:widowControl/>
        <w:numPr>
          <w:ilvl w:val="0"/>
          <w:numId w:val="8"/>
        </w:numPr>
        <w:suppressAutoHyphens w:val="0"/>
        <w:ind w:left="1134" w:hanging="567"/>
        <w:contextualSpacing/>
        <w:jc w:val="both"/>
        <w:rPr>
          <w:rFonts w:ascii="Tahoma" w:hAnsi="Tahoma" w:cs="Tahoma"/>
          <w:sz w:val="21"/>
          <w:szCs w:val="21"/>
        </w:rPr>
      </w:pPr>
      <w:r w:rsidRPr="006F1607">
        <w:rPr>
          <w:rFonts w:ascii="Tahoma" w:hAnsi="Tahoma" w:cs="Tahoma"/>
          <w:sz w:val="21"/>
          <w:szCs w:val="21"/>
        </w:rPr>
        <w:t>En relación a lo señalado anteriormente, se puede advertir que al no haber podido identificar previamente las fallas técnicas, al no funcionar el equipo por encontrarse fuera de funcionamiento, el problema suscitado con la Tarjeta de Control para equipo, no pudo ser advertido, no obstante ello, pese a no encontrarse dentro de las Bases, se cambio la tarjeta principal encontrándose con otro inconveniente, es decir la desactualización del equipo, hecho que configuran un caso fortuito.</w:t>
      </w:r>
    </w:p>
    <w:p w:rsidR="006F1607" w:rsidRPr="006F1607" w:rsidRDefault="006F1607" w:rsidP="006F1607">
      <w:pPr>
        <w:pStyle w:val="Prrafodelista"/>
        <w:widowControl/>
        <w:suppressAutoHyphens w:val="0"/>
        <w:ind w:left="1134" w:hanging="567"/>
        <w:contextualSpacing/>
        <w:jc w:val="both"/>
        <w:rPr>
          <w:rFonts w:ascii="Tahoma" w:hAnsi="Tahoma" w:cs="Tahoma"/>
          <w:sz w:val="21"/>
          <w:szCs w:val="21"/>
        </w:rPr>
      </w:pPr>
    </w:p>
    <w:p w:rsidR="006F1607" w:rsidRPr="006F1607" w:rsidRDefault="006F1607" w:rsidP="006F1607">
      <w:pPr>
        <w:pStyle w:val="Prrafodelista"/>
        <w:widowControl/>
        <w:numPr>
          <w:ilvl w:val="0"/>
          <w:numId w:val="8"/>
        </w:numPr>
        <w:suppressAutoHyphens w:val="0"/>
        <w:ind w:left="1134" w:hanging="567"/>
        <w:contextualSpacing/>
        <w:jc w:val="both"/>
        <w:rPr>
          <w:rFonts w:ascii="Tahoma" w:hAnsi="Tahoma" w:cs="Tahoma"/>
          <w:sz w:val="21"/>
          <w:szCs w:val="21"/>
        </w:rPr>
      </w:pPr>
      <w:r w:rsidRPr="006F1607">
        <w:rPr>
          <w:rFonts w:ascii="Tahoma" w:hAnsi="Tahoma" w:cs="Tahoma"/>
          <w:sz w:val="21"/>
          <w:szCs w:val="21"/>
        </w:rPr>
        <w:t xml:space="preserve">Así también, señaló que no se logró cumplir con sus obligaciones por culpa de la Entidad, toda vez que oculto el real estado del equipo, por lo tanto, teniendo en cuanta que su obligación sólo era el mantenimiento de la tarjeta, dicha </w:t>
      </w:r>
      <w:r w:rsidRPr="006F1607">
        <w:rPr>
          <w:rFonts w:ascii="Tahoma" w:hAnsi="Tahoma" w:cs="Tahoma"/>
          <w:sz w:val="21"/>
          <w:szCs w:val="21"/>
        </w:rPr>
        <w:lastRenderedPageBreak/>
        <w:t>obligación era imposible, toda vez que no se encontraba para un mantenimiento si no para una reparación, por lo que también se habría producido un caso fortuito.</w:t>
      </w:r>
    </w:p>
    <w:p w:rsidR="006F1607" w:rsidRPr="006F1607" w:rsidRDefault="006F1607" w:rsidP="006F1607">
      <w:pPr>
        <w:pStyle w:val="Prrafodelista"/>
        <w:widowControl/>
        <w:suppressAutoHyphens w:val="0"/>
        <w:ind w:left="1134" w:hanging="567"/>
        <w:contextualSpacing/>
        <w:jc w:val="both"/>
        <w:rPr>
          <w:rFonts w:ascii="Tahoma" w:hAnsi="Tahoma" w:cs="Tahoma"/>
          <w:sz w:val="21"/>
          <w:szCs w:val="21"/>
        </w:rPr>
      </w:pPr>
    </w:p>
    <w:p w:rsidR="006F1607" w:rsidRPr="006F1607" w:rsidRDefault="006F1607" w:rsidP="006F1607">
      <w:pPr>
        <w:pStyle w:val="Prrafodelista"/>
        <w:widowControl/>
        <w:numPr>
          <w:ilvl w:val="0"/>
          <w:numId w:val="8"/>
        </w:numPr>
        <w:suppressAutoHyphens w:val="0"/>
        <w:ind w:left="1134" w:hanging="567"/>
        <w:contextualSpacing/>
        <w:jc w:val="both"/>
        <w:rPr>
          <w:rFonts w:ascii="Tahoma" w:hAnsi="Tahoma" w:cs="Tahoma"/>
          <w:sz w:val="21"/>
          <w:szCs w:val="21"/>
        </w:rPr>
      </w:pPr>
      <w:r w:rsidRPr="006F1607">
        <w:rPr>
          <w:rFonts w:ascii="Tahoma" w:hAnsi="Tahoma" w:cs="Tahoma"/>
          <w:sz w:val="21"/>
          <w:szCs w:val="21"/>
        </w:rPr>
        <w:t>Por otro lado, solicitó la nulidad del decreto de fecha 15 de octubre del 2010, mediante el cual se hizo efectivo el apercibimiento de resolver con la documentación en autos, al no presentar sus descargos, toda vez que la Cédula de Notificación Nº 24215/2010.TC de fecha 23 de setiembre del 2010, mediante la cual se comunicó el decreto que inicio el procedimiento administrativo sancionador, se remitió a un domicilio distinto, notificándose al COLEGIO VON HUMBOLDT, tal como se puede advertir en el cargo de dicha cedula de notificación.</w:t>
      </w:r>
    </w:p>
    <w:p w:rsidR="006F1607" w:rsidRPr="006F1607" w:rsidRDefault="006F1607" w:rsidP="006F1607">
      <w:pPr>
        <w:pStyle w:val="Prrafodelista"/>
        <w:widowControl/>
        <w:suppressAutoHyphens w:val="0"/>
        <w:ind w:left="567"/>
        <w:contextualSpacing/>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Con decreto de fecha 26 de noviembre del 2010, se dejó sin efecto el decreto de fecha 15 de octubre del 2010, mediante la cual se hizo efectivo el apercibimiento de resolver con la documentación obrante en autos, remitiéndose el expediente a la Primera Sala del Tribunal, por lo que se le otorgó a la Contratista el plazo de diez (10) días hábiles, a fin que cumpla con presentar sus descargos.</w:t>
      </w:r>
    </w:p>
    <w:p w:rsidR="006F1607" w:rsidRPr="006F1607" w:rsidRDefault="006F1607" w:rsidP="006F1607">
      <w:pPr>
        <w:pStyle w:val="Prrafodelista"/>
        <w:widowControl/>
        <w:suppressAutoHyphens w:val="0"/>
        <w:ind w:left="567"/>
        <w:contextualSpacing/>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Mediante escrito presentado el 08 de febrero del 2011, la Contratista presentó sus descargos, reiterando los mismos argumentos señalados en el escrito presentado el 23 de noviembre del 2010.</w:t>
      </w:r>
    </w:p>
    <w:p w:rsidR="006F1607" w:rsidRPr="006F1607" w:rsidRDefault="006F1607" w:rsidP="006F1607">
      <w:pPr>
        <w:jc w:val="both"/>
        <w:rPr>
          <w:rFonts w:ascii="Tahoma" w:hAnsi="Tahoma" w:cs="Tahoma"/>
          <w:sz w:val="21"/>
          <w:szCs w:val="21"/>
        </w:rPr>
      </w:pPr>
    </w:p>
    <w:p w:rsidR="006F1607" w:rsidRPr="006F1607" w:rsidRDefault="006F1607" w:rsidP="006F1607">
      <w:pPr>
        <w:pStyle w:val="Prrafodelista"/>
        <w:widowControl/>
        <w:numPr>
          <w:ilvl w:val="0"/>
          <w:numId w:val="6"/>
        </w:numPr>
        <w:suppressAutoHyphens w:val="0"/>
        <w:ind w:left="567" w:hanging="567"/>
        <w:contextualSpacing/>
        <w:jc w:val="both"/>
        <w:rPr>
          <w:rFonts w:ascii="Tahoma" w:hAnsi="Tahoma" w:cs="Tahoma"/>
          <w:sz w:val="21"/>
          <w:szCs w:val="21"/>
        </w:rPr>
      </w:pPr>
      <w:r w:rsidRPr="006F1607">
        <w:rPr>
          <w:rFonts w:ascii="Tahoma" w:hAnsi="Tahoma" w:cs="Tahoma"/>
          <w:sz w:val="21"/>
          <w:szCs w:val="21"/>
        </w:rPr>
        <w:t xml:space="preserve">Con decreto de fecha </w:t>
      </w:r>
      <w:r>
        <w:rPr>
          <w:rFonts w:ascii="Tahoma" w:hAnsi="Tahoma" w:cs="Tahoma"/>
          <w:sz w:val="21"/>
          <w:szCs w:val="21"/>
        </w:rPr>
        <w:t>14 de febrero de 2011</w:t>
      </w:r>
      <w:r w:rsidRPr="006F1607">
        <w:rPr>
          <w:rFonts w:ascii="Tahoma" w:hAnsi="Tahoma" w:cs="Tahoma"/>
          <w:sz w:val="21"/>
          <w:szCs w:val="21"/>
        </w:rPr>
        <w:t>, se tuvo por presentado los descargos de la Contratista, por señalado su domicilio procesal y se remitió el expediente a la Primer Sala del Tribunal para que resuelva.</w:t>
      </w:r>
    </w:p>
    <w:p w:rsidR="006F1607" w:rsidRPr="006F1607" w:rsidRDefault="006F1607" w:rsidP="006F1607">
      <w:pPr>
        <w:contextualSpacing/>
        <w:jc w:val="both"/>
        <w:rPr>
          <w:rFonts w:ascii="Tahoma" w:hAnsi="Tahoma" w:cs="Tahoma"/>
          <w:sz w:val="21"/>
          <w:szCs w:val="21"/>
        </w:rPr>
      </w:pPr>
    </w:p>
    <w:p w:rsidR="006F1607" w:rsidRPr="006F1607" w:rsidRDefault="006F1607" w:rsidP="006F1607">
      <w:pPr>
        <w:pStyle w:val="Prrafodelista"/>
        <w:numPr>
          <w:ilvl w:val="0"/>
          <w:numId w:val="1"/>
        </w:numPr>
        <w:ind w:left="567" w:hanging="283"/>
        <w:rPr>
          <w:rFonts w:ascii="Tahoma" w:hAnsi="Tahoma" w:cs="Tahoma"/>
          <w:b/>
          <w:sz w:val="21"/>
          <w:szCs w:val="21"/>
        </w:rPr>
      </w:pPr>
      <w:r w:rsidRPr="006F1607">
        <w:rPr>
          <w:rFonts w:ascii="Tahoma" w:hAnsi="Tahoma" w:cs="Tahoma"/>
          <w:b/>
          <w:sz w:val="21"/>
          <w:szCs w:val="21"/>
        </w:rPr>
        <w:t>FUNDAMENTACIÓN</w:t>
      </w:r>
    </w:p>
    <w:p w:rsidR="006F1607" w:rsidRPr="006F1607" w:rsidRDefault="006F1607" w:rsidP="006F1607">
      <w:pPr>
        <w:ind w:left="426"/>
        <w:jc w:val="both"/>
        <w:rPr>
          <w:rFonts w:ascii="Tahoma" w:hAnsi="Tahoma" w:cs="Tahoma"/>
          <w:sz w:val="21"/>
          <w:szCs w:val="21"/>
          <w:lang w:eastAsia="es-PE"/>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Es materia del presente procedimiento administrativo la supuesta responsabilidad de la Contratista en la resolución de la ORDEN DE SERVICIO – GUIA DE INTERNAMIENTO Nº 74, derivado de la Adjudicación por Menor Cuantía Nº 19-2009-IN/PNP-DIRSAL.-UE.020, infracción tipificada en el literal b) del numeral 51.1 de la Ley de Contrataciones del Estado, aprobado mediante Decreto Legislativo Nº 1017, en adelante la Ley, en concordancia con el literal b) del  numeral 1) del artículo 237 del Reglamento de la Ley de Contrataciones del Estado, aprobado por Decreto Supremo № 184-2008-EF, en adelante el Reglamento, normas vigentes al momento de suscitarse los hechos imputados.</w:t>
      </w:r>
    </w:p>
    <w:p w:rsidR="006F1607" w:rsidRPr="006F1607" w:rsidRDefault="006F1607" w:rsidP="006F1607">
      <w:pPr>
        <w:ind w:left="567"/>
        <w:jc w:val="both"/>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Al respecto, dicha la infracción establece como supuesto de hecho indispensable para su configuración, la resolución del contrato, orden de compra o de servicios, según corresponda, por causal atribuible al Contratista.</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En tal sentido, el artículo 168 del Reglamento dispone que la Entidad podrá resolver el contrato, de conformidad con el inciso c) del artículo 40 de la Ley cuando el contratista incumpla injustificadamente las obligaciones contractuales, legales o reglamentarias a su cargo, pese a haber sido requerido para ello.</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 xml:space="preserve">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Ahora bien, del examen de la documentación obrante en autos, se advierte que, a través de la CARTA NOTARIAL Nº 117121 notificada notarialmente el 24 de setiembre del 2009, la misma en la cual se le requirió a la Contratista el cumplimiento de sus obligaciones contractuales, la Entidad consignó lo siguiente:</w:t>
      </w:r>
    </w:p>
    <w:p w:rsidR="006F1607" w:rsidRPr="0035487F" w:rsidRDefault="006F1607" w:rsidP="006F1607">
      <w:pPr>
        <w:rPr>
          <w:rFonts w:ascii="Tahoma" w:hAnsi="Tahoma" w:cs="Tahoma"/>
          <w:sz w:val="22"/>
          <w:szCs w:val="22"/>
        </w:rPr>
      </w:pPr>
    </w:p>
    <w:p w:rsidR="006F1607" w:rsidRDefault="006F1607" w:rsidP="006F1607">
      <w:pPr>
        <w:ind w:left="851" w:right="282"/>
        <w:jc w:val="both"/>
        <w:rPr>
          <w:rFonts w:ascii="Tahoma" w:hAnsi="Tahoma" w:cs="Tahoma"/>
          <w:sz w:val="18"/>
          <w:szCs w:val="18"/>
        </w:rPr>
      </w:pPr>
      <w:r w:rsidRPr="005B1E84">
        <w:rPr>
          <w:rFonts w:ascii="Tahoma" w:hAnsi="Tahoma" w:cs="Tahoma"/>
          <w:sz w:val="18"/>
          <w:szCs w:val="18"/>
        </w:rPr>
        <w:t>“</w:t>
      </w:r>
      <w:r>
        <w:rPr>
          <w:rFonts w:ascii="Tahoma" w:hAnsi="Tahoma" w:cs="Tahoma"/>
          <w:sz w:val="18"/>
          <w:szCs w:val="18"/>
        </w:rPr>
        <w:t>El motivo de la presente misiva enviada por CONDUCTO NOTARIAL es para informarle sobre incumplimiento de realizar EL SERVICIO DE REPARACION MANTENIMIENTO Y CALIBRACION GENERAL DE EQUIPO PROCESADORA AUTOMATICA DE PELICULAS RADIOGRÁFICAS, MARCA AGFA, MODELO CLASIC – EOS, SERIE 3210, PERTENECIENTE A LA DIVISIÓN DE DIAGNOSTICO POR IMÁGENES DEL HN.LNS.PNP BAJO APERCIBIMIENTO Y TOMAR LAS ACCIONES LEGALES CORRESPONDIENTE, por los motivos que a continuación se indica:</w:t>
      </w:r>
    </w:p>
    <w:p w:rsidR="006F1607" w:rsidRDefault="006F1607" w:rsidP="006F1607">
      <w:pPr>
        <w:ind w:left="851" w:right="282"/>
        <w:jc w:val="both"/>
        <w:rPr>
          <w:rFonts w:ascii="Tahoma" w:hAnsi="Tahoma" w:cs="Tahoma"/>
          <w:sz w:val="18"/>
          <w:szCs w:val="18"/>
        </w:rPr>
      </w:pPr>
    </w:p>
    <w:p w:rsidR="006F1607" w:rsidRDefault="006F1607" w:rsidP="006F1607">
      <w:pPr>
        <w:ind w:left="851" w:right="282"/>
        <w:jc w:val="both"/>
        <w:rPr>
          <w:rFonts w:ascii="Tahoma" w:hAnsi="Tahoma" w:cs="Tahoma"/>
          <w:sz w:val="18"/>
          <w:szCs w:val="18"/>
        </w:rPr>
      </w:pPr>
      <w:r>
        <w:rPr>
          <w:rFonts w:ascii="Tahoma" w:hAnsi="Tahoma" w:cs="Tahoma"/>
          <w:sz w:val="18"/>
          <w:szCs w:val="18"/>
        </w:rPr>
        <w:t>1.- Que, en virtud del proceso Adjudicación Directa Selectiva Nº 19-2009-IN/PNP-DIRSAL-UE-020 se emitió la Orden de Servicio Nº 74 de fecha 06 de julio del 2009, mediante la cual se formalizó la relación contractual con su representada la misma que recepciono el 21JUL09 teniendo un plazo de quince días hábiles para la entrega del servicio de reparación mantenimiento y calibración general de equipo procesadora automática de películas radiográficas, marca AGFA, modelo CLASIC-EOS, serie 3210 perteneciente a la División de Diagnostico por Imágenes del HN.LNS.PNP.</w:t>
      </w:r>
    </w:p>
    <w:p w:rsidR="006F1607" w:rsidRDefault="006F1607" w:rsidP="006F1607">
      <w:pPr>
        <w:ind w:left="851" w:right="282"/>
        <w:jc w:val="both"/>
        <w:rPr>
          <w:rFonts w:ascii="Tahoma" w:hAnsi="Tahoma" w:cs="Tahoma"/>
          <w:sz w:val="18"/>
          <w:szCs w:val="18"/>
        </w:rPr>
      </w:pPr>
    </w:p>
    <w:p w:rsidR="006F1607" w:rsidRDefault="006F1607" w:rsidP="006F1607">
      <w:pPr>
        <w:ind w:left="851" w:right="282"/>
        <w:jc w:val="both"/>
        <w:rPr>
          <w:rFonts w:ascii="Tahoma" w:hAnsi="Tahoma" w:cs="Tahoma"/>
          <w:sz w:val="18"/>
          <w:szCs w:val="18"/>
        </w:rPr>
      </w:pPr>
      <w:r>
        <w:rPr>
          <w:rFonts w:ascii="Tahoma" w:hAnsi="Tahoma" w:cs="Tahoma"/>
          <w:sz w:val="18"/>
          <w:szCs w:val="18"/>
        </w:rPr>
        <w:t>2.- Mediante Carta Nº 02-2009 DIRSAL.PNP/DIRESAJASS/SEC UE-020 de fecha 17AGO09, se comunico que no es viable lo solicitado por su representada con respecto a la ampliación de plazo, la misma que debería ceñirse estrictamente al cumplimiento de la orden de servicio.</w:t>
      </w:r>
    </w:p>
    <w:p w:rsidR="006F1607" w:rsidRDefault="006F1607" w:rsidP="006F1607">
      <w:pPr>
        <w:ind w:left="851" w:right="282"/>
        <w:jc w:val="both"/>
        <w:rPr>
          <w:rFonts w:ascii="Tahoma" w:hAnsi="Tahoma" w:cs="Tahoma"/>
          <w:sz w:val="18"/>
          <w:szCs w:val="18"/>
        </w:rPr>
      </w:pPr>
    </w:p>
    <w:p w:rsidR="006F1607" w:rsidRDefault="006F1607" w:rsidP="006F1607">
      <w:pPr>
        <w:ind w:left="851" w:right="282"/>
        <w:jc w:val="both"/>
        <w:rPr>
          <w:rFonts w:ascii="Tahoma" w:hAnsi="Tahoma" w:cs="Tahoma"/>
          <w:sz w:val="18"/>
          <w:szCs w:val="18"/>
        </w:rPr>
      </w:pPr>
      <w:r>
        <w:rPr>
          <w:rFonts w:ascii="Tahoma" w:hAnsi="Tahoma" w:cs="Tahoma"/>
          <w:sz w:val="18"/>
          <w:szCs w:val="18"/>
        </w:rPr>
        <w:t>3.- En ese sentido cabe señalar que actualmente de conformidad con los informes realizados por el área usuaria de la División de Diagnostico por Imagen del HN.LNS.PNP de fecha 19SET09, indica que con fecha 22JUN09, se llevo la procesadora, siendo retornada el 09SET09 por el personal de su representada, manifestando que el Ing. Mario Cieza Dávila posteriormente se apersonara para la entrega oficial. Asimismo se presentó un personal de su representada el día 10SET08 para hacer funcionar el procesador, no logrando su funcionamiento y que volverían el 12SET09, que hasta la fecha no se apersonado para la entrega del equipo en funcionamiento, causando insatisfacción, malestar y transtornos en el servicio.</w:t>
      </w:r>
    </w:p>
    <w:p w:rsidR="006F1607" w:rsidRDefault="006F1607" w:rsidP="006F1607">
      <w:pPr>
        <w:ind w:left="851" w:right="282"/>
        <w:jc w:val="both"/>
        <w:rPr>
          <w:rFonts w:ascii="Tahoma" w:hAnsi="Tahoma" w:cs="Tahoma"/>
          <w:sz w:val="18"/>
          <w:szCs w:val="18"/>
        </w:rPr>
      </w:pPr>
    </w:p>
    <w:p w:rsidR="006F1607" w:rsidRPr="000A2F8F" w:rsidRDefault="006F1607" w:rsidP="006F1607">
      <w:pPr>
        <w:ind w:left="851" w:right="282"/>
        <w:jc w:val="both"/>
        <w:rPr>
          <w:rFonts w:ascii="Tahoma" w:hAnsi="Tahoma" w:cs="Tahoma"/>
          <w:sz w:val="18"/>
          <w:szCs w:val="18"/>
        </w:rPr>
      </w:pPr>
      <w:r>
        <w:rPr>
          <w:rFonts w:ascii="Tahoma" w:hAnsi="Tahoma" w:cs="Tahoma"/>
          <w:sz w:val="18"/>
          <w:szCs w:val="18"/>
        </w:rPr>
        <w:t xml:space="preserve">4.- Por las razones expuestos se le concede a su Representada el plazo de CINCO DIAS HÁBILES a partir de recepcionada la presente Carta para cumplir con lo pactado y en caso </w:t>
      </w:r>
      <w:r>
        <w:rPr>
          <w:rFonts w:ascii="Tahoma" w:hAnsi="Tahoma" w:cs="Tahoma"/>
          <w:sz w:val="18"/>
          <w:szCs w:val="18"/>
        </w:rPr>
        <w:lastRenderedPageBreak/>
        <w:t>de incumplimiento con lo establecido, se procederá a DENUNCIAR ante el OSCE y a la Procuraduría Pública a cargo de Asuntos Judiciales del Ministerio del Interior, así como a la inhabilitación de su Empresa en el Listado de Proveedores de esta Dirección de Salud PNP., y de todas las Entidad Públicas, según las Normas vigentes del OSCE”.</w:t>
      </w:r>
      <w:r w:rsidRPr="0035487F">
        <w:rPr>
          <w:rFonts w:ascii="Tahoma" w:hAnsi="Tahoma" w:cs="Tahoma"/>
          <w:sz w:val="22"/>
          <w:szCs w:val="22"/>
        </w:rPr>
        <w:t xml:space="preserve"> (Sic) </w:t>
      </w:r>
    </w:p>
    <w:p w:rsidR="006F1607" w:rsidRPr="0035487F" w:rsidRDefault="006F1607" w:rsidP="006F1607">
      <w:pPr>
        <w:ind w:left="567"/>
        <w:jc w:val="both"/>
        <w:rPr>
          <w:rFonts w:ascii="Tahoma" w:hAnsi="Tahoma" w:cs="Tahoma"/>
          <w:sz w:val="22"/>
          <w:szCs w:val="22"/>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lang w:val="es-PE"/>
        </w:rPr>
        <w:t>Como se puede apreciar, en el presente caso, la Entidad no especificó que el requerimiento, para el cumplimiento de las obligaciones por parte de la Contratista, se encontraba bajo apercibimiento de resolver el contrato, es decir, la comunicación bajo examen, no señaló que la consecuencia de incumplir el requerimiento sea la resolución del vínculo contractual, toda vez que sólo hace referencia a que se “</w:t>
      </w:r>
      <w:r w:rsidRPr="006F1607">
        <w:rPr>
          <w:rFonts w:ascii="Tahoma" w:hAnsi="Tahoma" w:cs="Tahoma"/>
          <w:i/>
          <w:sz w:val="21"/>
          <w:szCs w:val="21"/>
        </w:rPr>
        <w:t>en caso de incumplimiento con lo establecido, se procederá a DENUNCIAR ante el OSCE y a la Procuraduría Pública a cargo de Asuntos Judiciales del Ministerio del Interior, así como a la inhabilitación de su Empresa en el Listado de Proveedores de esta Dirección de Salud PNP., y de todas las Entidad Públicas, según las Normas vigentes del OSCE</w:t>
      </w:r>
      <w:r w:rsidRPr="006F1607">
        <w:rPr>
          <w:rFonts w:ascii="Tahoma" w:hAnsi="Tahoma" w:cs="Tahoma"/>
          <w:b/>
          <w:sz w:val="21"/>
          <w:szCs w:val="21"/>
          <w:lang w:val="es-PE"/>
        </w:rPr>
        <w:t>”</w:t>
      </w:r>
      <w:r w:rsidRPr="006F1607">
        <w:rPr>
          <w:rFonts w:ascii="Tahoma" w:hAnsi="Tahoma" w:cs="Tahoma"/>
          <w:sz w:val="21"/>
          <w:szCs w:val="21"/>
          <w:lang w:val="es-PE"/>
        </w:rPr>
        <w:t xml:space="preserve">. </w:t>
      </w:r>
    </w:p>
    <w:p w:rsidR="006F1607" w:rsidRPr="006F1607" w:rsidRDefault="006F1607" w:rsidP="006F1607">
      <w:pPr>
        <w:ind w:left="567"/>
        <w:jc w:val="both"/>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 xml:space="preserve">Así también, se puede verificar que dicha carta </w:t>
      </w:r>
      <w:r w:rsidRPr="006F1607">
        <w:rPr>
          <w:rFonts w:ascii="Tahoma" w:hAnsi="Tahoma" w:cs="Tahoma"/>
          <w:sz w:val="21"/>
          <w:szCs w:val="21"/>
          <w:lang w:val="es-PE"/>
        </w:rPr>
        <w:t>tampoco hace mención a las normas pertinentes de resolución del contrato, ni a cláusula contractual alguna referida al tema, razón por la cual la Contratista no tenía forma de saber sí se encontraba frente a un requerimiento simple o a uno de resolución contractual. En ese sentido, la Contratista no podía tener conocimiento, en el caso concreto, cuáles podían ser las consecuencias de no cumplir con el requerimiento en el plazo indicado.</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lang w:val="es-PE"/>
        </w:rPr>
        <w:t>Lo señalado anteriormente, se condice con lo establecido en el artículo 168º de El Reglamento que señala que “</w:t>
      </w:r>
      <w:r w:rsidRPr="006F1607">
        <w:rPr>
          <w:rFonts w:ascii="Tahoma" w:hAnsi="Tahoma" w:cs="Tahoma"/>
          <w:color w:val="000000"/>
          <w:sz w:val="21"/>
          <w:szCs w:val="21"/>
        </w:rPr>
        <w:t xml:space="preserve">La Entidad </w:t>
      </w:r>
      <w:r w:rsidRPr="006F1607">
        <w:rPr>
          <w:rFonts w:ascii="Tahoma" w:hAnsi="Tahoma" w:cs="Tahoma"/>
          <w:color w:val="000000"/>
          <w:sz w:val="21"/>
          <w:szCs w:val="21"/>
          <w:u w:val="single"/>
        </w:rPr>
        <w:t>podrá</w:t>
      </w:r>
      <w:r w:rsidRPr="006F1607">
        <w:rPr>
          <w:rFonts w:ascii="Tahoma" w:hAnsi="Tahoma" w:cs="Tahoma"/>
          <w:color w:val="000000"/>
          <w:sz w:val="21"/>
          <w:szCs w:val="21"/>
        </w:rPr>
        <w:t xml:space="preserve"> resolver el contrato, de conformidad con el inciso c) del artículo 40° de la Ley, en los casos en que el contratista: 1. </w:t>
      </w:r>
      <w:r w:rsidRPr="006F1607">
        <w:rPr>
          <w:rFonts w:ascii="Tahoma" w:hAnsi="Tahoma" w:cs="Tahoma"/>
          <w:color w:val="000000"/>
          <w:sz w:val="21"/>
          <w:szCs w:val="21"/>
          <w:u w:val="single"/>
        </w:rPr>
        <w:t>Incumpla</w:t>
      </w:r>
      <w:r w:rsidRPr="006F1607">
        <w:rPr>
          <w:rFonts w:ascii="Tahoma" w:hAnsi="Tahoma" w:cs="Tahoma"/>
          <w:color w:val="000000"/>
          <w:sz w:val="21"/>
          <w:szCs w:val="21"/>
        </w:rPr>
        <w:t xml:space="preserve"> injustificadamente obligaciones contractuales, legales o reglamentarias a su cargo, </w:t>
      </w:r>
      <w:r w:rsidRPr="006F1607">
        <w:rPr>
          <w:rFonts w:ascii="Tahoma" w:hAnsi="Tahoma" w:cs="Tahoma"/>
          <w:color w:val="000000"/>
          <w:sz w:val="21"/>
          <w:szCs w:val="21"/>
          <w:u w:val="single"/>
        </w:rPr>
        <w:t xml:space="preserve">pese a haber sido requerido para ello </w:t>
      </w:r>
      <w:r w:rsidRPr="006F1607">
        <w:rPr>
          <w:rFonts w:ascii="Tahoma" w:hAnsi="Tahoma" w:cs="Tahoma"/>
          <w:color w:val="000000"/>
          <w:sz w:val="21"/>
          <w:szCs w:val="21"/>
        </w:rPr>
        <w:t>(…).</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lang w:val="es-PE"/>
        </w:rPr>
        <w:t>Debe tenerse presente que la finalidad de la norma es establecer como una potestad y no un deber de la Entidad de resolver el contrato luego que se haya realizado el requerimiento por incumplimiento de las obligaciones contractuales, no siendo una consecuencia necesaria o inmediata que dicho requerimiento deba concluir inevitablemente en la finalización del contrato con las consecuencias que ello acarrearía.</w:t>
      </w:r>
    </w:p>
    <w:p w:rsidR="006F1607" w:rsidRPr="006F1607" w:rsidRDefault="006F1607" w:rsidP="006F1607">
      <w:pPr>
        <w:pStyle w:val="Prrafodelista"/>
        <w:rPr>
          <w:rFonts w:ascii="Tahoma" w:hAnsi="Tahoma" w:cs="Tahoma"/>
          <w:sz w:val="21"/>
          <w:szCs w:val="21"/>
          <w:lang w:val="es-ES"/>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 xml:space="preserve">En razón de lo expuesto, se advierte que la Entidad no observó el procedimiento para la resolución del contrato, por cuanto no cumplió con señalar que el requerimiento era bajo apercibimiento de resolver el contrato conforme a lo contemplado en la normativa que rige las contrataciones públicas para el supuesto en mención; toda vez que simplemente, se limitó a exigir el cumplimiento de sus obligaciones contractuales, </w:t>
      </w:r>
      <w:r w:rsidRPr="006F1607">
        <w:rPr>
          <w:rFonts w:ascii="Tahoma" w:hAnsi="Tahoma" w:cs="Tahoma"/>
          <w:sz w:val="21"/>
          <w:szCs w:val="21"/>
          <w:u w:val="single"/>
        </w:rPr>
        <w:t>sin hacer mención a las consecuencias de su omisión</w:t>
      </w:r>
      <w:r w:rsidRPr="006F1607">
        <w:rPr>
          <w:rFonts w:ascii="Tahoma" w:hAnsi="Tahoma" w:cs="Tahoma"/>
          <w:sz w:val="21"/>
          <w:szCs w:val="21"/>
        </w:rPr>
        <w:t>.</w:t>
      </w:r>
    </w:p>
    <w:p w:rsidR="006F1607" w:rsidRPr="006F1607" w:rsidRDefault="006F1607" w:rsidP="006F1607">
      <w:pPr>
        <w:pStyle w:val="Prrafodelista"/>
        <w:rPr>
          <w:rFonts w:ascii="Tahoma" w:hAnsi="Tahoma" w:cs="Tahoma"/>
          <w:sz w:val="21"/>
          <w:szCs w:val="21"/>
        </w:rPr>
      </w:pPr>
    </w:p>
    <w:p w:rsidR="006F1607" w:rsidRPr="006F1607" w:rsidRDefault="006F1607" w:rsidP="006F1607">
      <w:pPr>
        <w:numPr>
          <w:ilvl w:val="0"/>
          <w:numId w:val="9"/>
        </w:numPr>
        <w:tabs>
          <w:tab w:val="clear" w:pos="1440"/>
        </w:tabs>
        <w:ind w:left="567" w:hanging="567"/>
        <w:jc w:val="both"/>
        <w:rPr>
          <w:rFonts w:ascii="Tahoma" w:hAnsi="Tahoma" w:cs="Tahoma"/>
          <w:sz w:val="21"/>
          <w:szCs w:val="21"/>
        </w:rPr>
      </w:pPr>
      <w:r w:rsidRPr="006F1607">
        <w:rPr>
          <w:rFonts w:ascii="Tahoma" w:hAnsi="Tahoma" w:cs="Tahoma"/>
          <w:sz w:val="21"/>
          <w:szCs w:val="21"/>
        </w:rPr>
        <w:t xml:space="preserve">Conforme a ello, teniendo en cuenta que el cumplimiento del procedimiento de resolución del contrato es un elemento fundamental para determinar la aplicación de sanción administrativa, por lo tanto, corresponde a este Colegiado declarar no ha </w:t>
      </w:r>
      <w:r w:rsidRPr="006F1607">
        <w:rPr>
          <w:rFonts w:ascii="Tahoma" w:hAnsi="Tahoma" w:cs="Tahoma"/>
          <w:sz w:val="21"/>
          <w:szCs w:val="21"/>
        </w:rPr>
        <w:lastRenderedPageBreak/>
        <w:t>lugar a la imposición de sanción contra la Contratista, disponiendo el archivamiento del expediente.</w:t>
      </w:r>
    </w:p>
    <w:p w:rsidR="006F1607" w:rsidRPr="006F1607" w:rsidRDefault="006F1607" w:rsidP="006F1607">
      <w:pPr>
        <w:jc w:val="both"/>
        <w:rPr>
          <w:rFonts w:ascii="Tahoma" w:hAnsi="Tahoma" w:cs="Tahoma"/>
          <w:sz w:val="21"/>
          <w:szCs w:val="21"/>
        </w:rPr>
      </w:pPr>
    </w:p>
    <w:p w:rsidR="006F1607" w:rsidRPr="006F1607" w:rsidRDefault="006F1607" w:rsidP="006F1607">
      <w:pPr>
        <w:ind w:firstLine="567"/>
        <w:jc w:val="both"/>
        <w:rPr>
          <w:rFonts w:ascii="Tahoma" w:eastAsiaTheme="minorHAnsi" w:hAnsi="Tahoma" w:cs="Tahoma"/>
          <w:color w:val="000000"/>
          <w:sz w:val="21"/>
          <w:szCs w:val="21"/>
        </w:rPr>
      </w:pPr>
      <w:r w:rsidRPr="006F1607">
        <w:rPr>
          <w:rFonts w:ascii="Tahoma" w:hAnsi="Tahoma" w:cs="Tahoma"/>
          <w:sz w:val="21"/>
          <w:szCs w:val="21"/>
        </w:rPr>
        <w:t xml:space="preserve">Por estos fundamentos, </w:t>
      </w:r>
      <w:r w:rsidRPr="006F1607">
        <w:rPr>
          <w:rFonts w:ascii="Tahoma" w:hAnsi="Tahoma" w:cs="Tahoma"/>
          <w:color w:val="000000"/>
          <w:sz w:val="21"/>
          <w:szCs w:val="21"/>
        </w:rPr>
        <w:t>de conformidad con el inf</w:t>
      </w:r>
      <w:r w:rsidRPr="006F1607">
        <w:rPr>
          <w:rFonts w:ascii="Tahoma" w:eastAsia="Calibri" w:hAnsi="Tahoma" w:cs="Tahoma"/>
          <w:color w:val="000000"/>
          <w:sz w:val="21"/>
          <w:szCs w:val="21"/>
        </w:rPr>
        <w:t xml:space="preserve">orme de la Vocal Ponente Dra. Ada Rosa Basulto Liewald y la intervención de los Señores Vocales </w:t>
      </w:r>
      <w:r w:rsidRPr="006F1607">
        <w:rPr>
          <w:rFonts w:ascii="Tahoma" w:eastAsiaTheme="minorHAnsi" w:hAnsi="Tahoma" w:cs="Tahoma"/>
          <w:color w:val="000000"/>
          <w:sz w:val="21"/>
          <w:szCs w:val="21"/>
        </w:rPr>
        <w:t xml:space="preserve">Dr. Carlos Vicente Navas Rondón y </w:t>
      </w:r>
      <w:r w:rsidRPr="006F1607">
        <w:rPr>
          <w:rFonts w:ascii="Tahoma" w:eastAsia="Calibri" w:hAnsi="Tahoma" w:cs="Tahoma"/>
          <w:color w:val="000000"/>
          <w:sz w:val="21"/>
          <w:szCs w:val="21"/>
        </w:rPr>
        <w:t xml:space="preserve">Dra. Janette Elke Ramírez Maynetto; </w:t>
      </w:r>
      <w:r w:rsidRPr="006F1607">
        <w:rPr>
          <w:rFonts w:ascii="Tahoma" w:eastAsiaTheme="minorHAnsi" w:hAnsi="Tahoma" w:cs="Tahoma"/>
          <w:color w:val="000000"/>
          <w:sz w:val="21"/>
          <w:szCs w:val="21"/>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6F1607" w:rsidRPr="006F1607" w:rsidRDefault="006F1607" w:rsidP="006F1607">
      <w:pPr>
        <w:ind w:firstLine="426"/>
        <w:jc w:val="both"/>
        <w:rPr>
          <w:rFonts w:ascii="Tahoma" w:hAnsi="Tahoma" w:cs="Tahoma"/>
          <w:sz w:val="21"/>
          <w:szCs w:val="21"/>
        </w:rPr>
      </w:pPr>
    </w:p>
    <w:p w:rsidR="006F1607" w:rsidRPr="006F1607" w:rsidRDefault="006F1607" w:rsidP="006F1607">
      <w:pPr>
        <w:ind w:firstLine="567"/>
        <w:jc w:val="both"/>
        <w:rPr>
          <w:rFonts w:ascii="Tahoma" w:hAnsi="Tahoma" w:cs="Tahoma"/>
          <w:b/>
          <w:sz w:val="21"/>
          <w:szCs w:val="21"/>
        </w:rPr>
      </w:pPr>
      <w:r w:rsidRPr="006F1607">
        <w:rPr>
          <w:rFonts w:ascii="Tahoma" w:hAnsi="Tahoma" w:cs="Tahoma"/>
          <w:b/>
          <w:sz w:val="21"/>
          <w:szCs w:val="21"/>
        </w:rPr>
        <w:t xml:space="preserve">LA SALA RESUELVE: </w:t>
      </w:r>
    </w:p>
    <w:p w:rsidR="006F1607" w:rsidRPr="006F1607" w:rsidRDefault="006F1607" w:rsidP="006F1607">
      <w:pPr>
        <w:jc w:val="both"/>
        <w:rPr>
          <w:rFonts w:ascii="Tahoma" w:hAnsi="Tahoma" w:cs="Tahoma"/>
          <w:snapToGrid w:val="0"/>
          <w:sz w:val="21"/>
          <w:szCs w:val="21"/>
        </w:rPr>
      </w:pPr>
    </w:p>
    <w:p w:rsidR="006F1607" w:rsidRPr="006F1607" w:rsidRDefault="006F1607" w:rsidP="006F1607">
      <w:pPr>
        <w:pStyle w:val="Prrafodelista"/>
        <w:numPr>
          <w:ilvl w:val="0"/>
          <w:numId w:val="10"/>
        </w:numPr>
        <w:ind w:left="567" w:hanging="567"/>
        <w:contextualSpacing/>
        <w:jc w:val="both"/>
        <w:rPr>
          <w:rFonts w:ascii="Tahoma" w:hAnsi="Tahoma" w:cs="Tahoma"/>
          <w:sz w:val="21"/>
          <w:szCs w:val="21"/>
        </w:rPr>
      </w:pPr>
      <w:r w:rsidRPr="006F1607">
        <w:rPr>
          <w:rFonts w:ascii="Tahoma" w:hAnsi="Tahoma" w:cs="Tahoma"/>
          <w:sz w:val="21"/>
          <w:szCs w:val="21"/>
        </w:rPr>
        <w:t>Declarar no ha lugar la imposición de sanción contra la empresa INLEMED S.A.C. y disponer el archivamiento del expediente.</w:t>
      </w:r>
    </w:p>
    <w:p w:rsidR="006F1607" w:rsidRPr="006F1607" w:rsidRDefault="006F1607" w:rsidP="006F1607">
      <w:pPr>
        <w:pStyle w:val="Prrafodelista"/>
        <w:ind w:left="426"/>
        <w:jc w:val="both"/>
        <w:rPr>
          <w:rFonts w:ascii="Tahoma" w:hAnsi="Tahoma" w:cs="Tahoma"/>
          <w:color w:val="000000" w:themeColor="text1"/>
          <w:sz w:val="21"/>
          <w:szCs w:val="21"/>
        </w:rPr>
      </w:pPr>
    </w:p>
    <w:p w:rsidR="006F1607" w:rsidRPr="006F1607" w:rsidRDefault="006F1607" w:rsidP="006F1607">
      <w:pPr>
        <w:pStyle w:val="Textoindependiente21"/>
        <w:ind w:firstLine="567"/>
        <w:rPr>
          <w:rFonts w:cs="Tahoma"/>
          <w:sz w:val="21"/>
          <w:szCs w:val="21"/>
        </w:rPr>
      </w:pPr>
      <w:r w:rsidRPr="006F1607">
        <w:rPr>
          <w:rFonts w:cs="Tahoma"/>
          <w:sz w:val="21"/>
          <w:szCs w:val="21"/>
        </w:rPr>
        <w:t>Regístrese, comuníquese y publíquese.</w:t>
      </w: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z w:val="21"/>
          <w:szCs w:val="21"/>
        </w:rPr>
      </w:pPr>
    </w:p>
    <w:p w:rsidR="006F1607" w:rsidRPr="006F1607" w:rsidRDefault="006F1607" w:rsidP="006F1607">
      <w:pPr>
        <w:jc w:val="center"/>
        <w:rPr>
          <w:rFonts w:ascii="Tahoma" w:hAnsi="Tahoma" w:cs="Tahoma"/>
          <w:b/>
          <w:shadow/>
          <w:sz w:val="21"/>
          <w:szCs w:val="21"/>
          <w:lang w:val="pt-BR"/>
        </w:rPr>
      </w:pPr>
      <w:r w:rsidRPr="006F1607">
        <w:rPr>
          <w:rFonts w:ascii="Tahoma" w:hAnsi="Tahoma" w:cs="Tahoma"/>
          <w:b/>
          <w:shadow/>
          <w:sz w:val="21"/>
          <w:szCs w:val="21"/>
          <w:lang w:val="pt-BR"/>
        </w:rPr>
        <w:t>PRESIDENTE</w:t>
      </w:r>
    </w:p>
    <w:p w:rsidR="006F1607" w:rsidRPr="006F1607" w:rsidRDefault="006F1607" w:rsidP="006F1607">
      <w:pPr>
        <w:ind w:firstLine="708"/>
        <w:rPr>
          <w:rFonts w:ascii="Tahoma" w:hAnsi="Tahoma" w:cs="Tahoma"/>
          <w:b/>
          <w:shadow/>
          <w:sz w:val="21"/>
          <w:szCs w:val="21"/>
          <w:lang w:val="pt-BR"/>
        </w:rPr>
      </w:pPr>
      <w:r w:rsidRPr="006F1607">
        <w:rPr>
          <w:rFonts w:ascii="Tahoma" w:hAnsi="Tahoma" w:cs="Tahoma"/>
          <w:b/>
          <w:shadow/>
          <w:sz w:val="21"/>
          <w:szCs w:val="21"/>
          <w:lang w:val="pt-BR"/>
        </w:rPr>
        <w:t xml:space="preserve">VOCAL           </w:t>
      </w:r>
      <w:r w:rsidRPr="006F1607">
        <w:rPr>
          <w:rFonts w:ascii="Tahoma" w:hAnsi="Tahoma" w:cs="Tahoma"/>
          <w:b/>
          <w:shadow/>
          <w:sz w:val="21"/>
          <w:szCs w:val="21"/>
          <w:lang w:val="pt-BR"/>
        </w:rPr>
        <w:tab/>
      </w:r>
      <w:r w:rsidRPr="006F1607">
        <w:rPr>
          <w:rFonts w:ascii="Tahoma" w:hAnsi="Tahoma" w:cs="Tahoma"/>
          <w:b/>
          <w:shadow/>
          <w:sz w:val="21"/>
          <w:szCs w:val="21"/>
          <w:lang w:val="pt-BR"/>
        </w:rPr>
        <w:tab/>
        <w:t xml:space="preserve">                                                    VOCAL</w:t>
      </w:r>
    </w:p>
    <w:p w:rsidR="006F1607" w:rsidRPr="006F1607" w:rsidRDefault="006F1607" w:rsidP="006F1607">
      <w:pPr>
        <w:jc w:val="both"/>
        <w:rPr>
          <w:rFonts w:ascii="Tahoma" w:hAnsi="Tahoma" w:cs="Tahoma"/>
          <w:sz w:val="21"/>
          <w:szCs w:val="21"/>
          <w:lang w:val="pt-BR"/>
        </w:rPr>
      </w:pPr>
      <w:r w:rsidRPr="006F1607">
        <w:rPr>
          <w:rFonts w:ascii="Tahoma" w:hAnsi="Tahoma" w:cs="Tahoma"/>
          <w:sz w:val="21"/>
          <w:szCs w:val="21"/>
          <w:lang w:val="pt-BR"/>
        </w:rPr>
        <w:t>ss.</w:t>
      </w:r>
    </w:p>
    <w:p w:rsidR="006F1607" w:rsidRPr="006F1607" w:rsidRDefault="006F1607" w:rsidP="006F1607">
      <w:pPr>
        <w:pStyle w:val="Textoindependiente21"/>
        <w:tabs>
          <w:tab w:val="left" w:pos="5250"/>
        </w:tabs>
        <w:rPr>
          <w:rFonts w:cs="Tahoma"/>
          <w:sz w:val="21"/>
          <w:szCs w:val="21"/>
          <w:lang w:val="pt-BR"/>
        </w:rPr>
      </w:pPr>
      <w:r w:rsidRPr="006F1607">
        <w:rPr>
          <w:rFonts w:cs="Tahoma"/>
          <w:sz w:val="21"/>
          <w:szCs w:val="21"/>
          <w:lang w:val="pt-BR"/>
        </w:rPr>
        <w:t>Navas Rondón.</w:t>
      </w:r>
    </w:p>
    <w:p w:rsidR="006F1607" w:rsidRPr="006F1607" w:rsidRDefault="006F1607" w:rsidP="006F1607">
      <w:pPr>
        <w:pStyle w:val="Textoindependiente21"/>
        <w:tabs>
          <w:tab w:val="left" w:pos="5250"/>
        </w:tabs>
        <w:rPr>
          <w:rFonts w:cs="Tahoma"/>
          <w:sz w:val="21"/>
          <w:szCs w:val="21"/>
          <w:lang w:val="pt-BR"/>
        </w:rPr>
      </w:pPr>
      <w:r w:rsidRPr="006F1607">
        <w:rPr>
          <w:rFonts w:cs="Tahoma"/>
          <w:sz w:val="21"/>
          <w:szCs w:val="21"/>
        </w:rPr>
        <w:t>Ramírez Maynetto.</w:t>
      </w:r>
    </w:p>
    <w:p w:rsidR="006F1607" w:rsidRPr="006F1607" w:rsidRDefault="006F1607" w:rsidP="006F1607">
      <w:pPr>
        <w:pStyle w:val="Textoindependiente21"/>
        <w:rPr>
          <w:rFonts w:cs="Tahoma"/>
          <w:sz w:val="21"/>
          <w:szCs w:val="21"/>
        </w:rPr>
      </w:pPr>
      <w:r w:rsidRPr="006F1607">
        <w:rPr>
          <w:rFonts w:cs="Tahoma"/>
          <w:sz w:val="21"/>
          <w:szCs w:val="21"/>
        </w:rPr>
        <w:t>Basulto Liewald.</w:t>
      </w:r>
    </w:p>
    <w:p w:rsidR="008B738B" w:rsidRDefault="00D80494"/>
    <w:sectPr w:rsidR="008B738B" w:rsidSect="006F160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494" w:rsidRDefault="00D80494" w:rsidP="006F1607">
      <w:r>
        <w:separator/>
      </w:r>
    </w:p>
  </w:endnote>
  <w:endnote w:type="continuationSeparator" w:id="1">
    <w:p w:rsidR="00D80494" w:rsidRDefault="00D80494" w:rsidP="006F160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1"/>
      <w:docPartObj>
        <w:docPartGallery w:val="Page Numbers (Bottom of Page)"/>
        <w:docPartUnique/>
      </w:docPartObj>
    </w:sdtPr>
    <w:sdtContent>
      <w:sdt>
        <w:sdtPr>
          <w:id w:val="216747541"/>
          <w:docPartObj>
            <w:docPartGallery w:val="Page Numbers (Top of Page)"/>
            <w:docPartUnique/>
          </w:docPartObj>
        </w:sdtPr>
        <w:sdtContent>
          <w:p w:rsidR="00E7217D" w:rsidRDefault="00E7217D">
            <w:pPr>
              <w:pStyle w:val="Piedepgina"/>
              <w:jc w:val="center"/>
            </w:pPr>
            <w:r>
              <w:t xml:space="preserve">Página </w:t>
            </w:r>
            <w:r w:rsidR="00192900">
              <w:rPr>
                <w:b/>
              </w:rPr>
              <w:fldChar w:fldCharType="begin"/>
            </w:r>
            <w:r>
              <w:rPr>
                <w:b/>
              </w:rPr>
              <w:instrText>PAGE</w:instrText>
            </w:r>
            <w:r w:rsidR="00192900">
              <w:rPr>
                <w:b/>
              </w:rPr>
              <w:fldChar w:fldCharType="separate"/>
            </w:r>
            <w:r w:rsidR="00DE6A44">
              <w:rPr>
                <w:b/>
                <w:noProof/>
              </w:rPr>
              <w:t>1</w:t>
            </w:r>
            <w:r w:rsidR="00192900">
              <w:rPr>
                <w:b/>
              </w:rPr>
              <w:fldChar w:fldCharType="end"/>
            </w:r>
            <w:r>
              <w:t xml:space="preserve"> de </w:t>
            </w:r>
            <w:r w:rsidR="00192900">
              <w:rPr>
                <w:b/>
              </w:rPr>
              <w:fldChar w:fldCharType="begin"/>
            </w:r>
            <w:r>
              <w:rPr>
                <w:b/>
              </w:rPr>
              <w:instrText>NUMPAGES</w:instrText>
            </w:r>
            <w:r w:rsidR="00192900">
              <w:rPr>
                <w:b/>
              </w:rPr>
              <w:fldChar w:fldCharType="separate"/>
            </w:r>
            <w:r w:rsidR="00DE6A44">
              <w:rPr>
                <w:b/>
                <w:noProof/>
              </w:rPr>
              <w:t>7</w:t>
            </w:r>
            <w:r w:rsidR="00192900">
              <w:rPr>
                <w:b/>
              </w:rPr>
              <w:fldChar w:fldCharType="end"/>
            </w:r>
          </w:p>
        </w:sdtContent>
      </w:sdt>
    </w:sdtContent>
  </w:sdt>
  <w:p w:rsidR="00E7217D" w:rsidRDefault="00E7217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494" w:rsidRDefault="00D80494" w:rsidP="006F1607">
      <w:r>
        <w:separator/>
      </w:r>
    </w:p>
  </w:footnote>
  <w:footnote w:type="continuationSeparator" w:id="1">
    <w:p w:rsidR="00D80494" w:rsidRDefault="00D80494" w:rsidP="006F1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A44" w:rsidRDefault="00DE6A44" w:rsidP="00DE6A44">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E6A44" w:rsidRDefault="00DE6A44" w:rsidP="00DE6A44">
    <w:pPr>
      <w:pStyle w:val="Encabezado"/>
      <w:rPr>
        <w:noProof/>
      </w:rPr>
    </w:pPr>
  </w:p>
  <w:p w:rsidR="00DE6A44" w:rsidRDefault="00DE6A44" w:rsidP="00DE6A44">
    <w:pPr>
      <w:pStyle w:val="Encabezado"/>
      <w:rPr>
        <w:noProof/>
      </w:rPr>
    </w:pPr>
  </w:p>
  <w:p w:rsidR="00DE6A44" w:rsidRDefault="00DE6A44" w:rsidP="00DE6A44">
    <w:pPr>
      <w:pStyle w:val="Encabezado"/>
      <w:rPr>
        <w:noProof/>
      </w:rPr>
    </w:pPr>
  </w:p>
  <w:p w:rsidR="00DE6A44" w:rsidRDefault="00DE6A44" w:rsidP="00DE6A44">
    <w:pPr>
      <w:pStyle w:val="Encabezado"/>
      <w:jc w:val="center"/>
    </w:pPr>
    <w:r>
      <w:rPr>
        <w:rFonts w:ascii="Monotype Corsiva" w:hAnsi="Monotype Corsiva"/>
        <w:b/>
        <w:sz w:val="44"/>
        <w:szCs w:val="44"/>
      </w:rPr>
      <w:t xml:space="preserve">Resolución Nº   </w:t>
    </w:r>
    <w:r>
      <w:rPr>
        <w:rFonts w:ascii="Tahoma" w:hAnsi="Tahoma" w:cs="Tahoma"/>
        <w:b/>
        <w:sz w:val="44"/>
        <w:szCs w:val="44"/>
      </w:rPr>
      <w:t>550-2011-TC-S1</w:t>
    </w:r>
  </w:p>
  <w:p w:rsidR="00DE6A44" w:rsidRDefault="00DE6A4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D45921"/>
    <w:multiLevelType w:val="hybridMultilevel"/>
    <w:tmpl w:val="BF2EF9B2"/>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1104B16"/>
    <w:multiLevelType w:val="hybridMultilevel"/>
    <w:tmpl w:val="AB4C0CE0"/>
    <w:lvl w:ilvl="0" w:tplc="41802B04">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AF36B53"/>
    <w:multiLevelType w:val="hybridMultilevel"/>
    <w:tmpl w:val="40C40F1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7F86388"/>
    <w:multiLevelType w:val="hybridMultilevel"/>
    <w:tmpl w:val="25FEEF0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6"/>
  </w:num>
  <w:num w:numId="2">
    <w:abstractNumId w:val="9"/>
  </w:num>
  <w:num w:numId="3">
    <w:abstractNumId w:val="7"/>
  </w:num>
  <w:num w:numId="4">
    <w:abstractNumId w:val="1"/>
  </w:num>
  <w:num w:numId="5">
    <w:abstractNumId w:val="8"/>
  </w:num>
  <w:num w:numId="6">
    <w:abstractNumId w:val="0"/>
  </w:num>
  <w:num w:numId="7">
    <w:abstractNumId w:val="4"/>
  </w:num>
  <w:num w:numId="8">
    <w:abstractNumId w:val="5"/>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6F1607"/>
    <w:rsid w:val="00192900"/>
    <w:rsid w:val="005F0E2E"/>
    <w:rsid w:val="006F1607"/>
    <w:rsid w:val="007D77C6"/>
    <w:rsid w:val="007D7F8F"/>
    <w:rsid w:val="009042C5"/>
    <w:rsid w:val="00D80494"/>
    <w:rsid w:val="00DE2131"/>
    <w:rsid w:val="00DE6A44"/>
    <w:rsid w:val="00E721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60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F1607"/>
    <w:pPr>
      <w:spacing w:after="120"/>
    </w:pPr>
    <w:rPr>
      <w:sz w:val="16"/>
      <w:szCs w:val="16"/>
      <w:lang w:val="es-PE"/>
    </w:rPr>
  </w:style>
  <w:style w:type="character" w:customStyle="1" w:styleId="Textoindependiente3Car">
    <w:name w:val="Texto independiente 3 Car"/>
    <w:basedOn w:val="Fuentedeprrafopredeter"/>
    <w:link w:val="Textoindependiente3"/>
    <w:rsid w:val="006F1607"/>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F1607"/>
    <w:pPr>
      <w:jc w:val="both"/>
    </w:pPr>
    <w:rPr>
      <w:rFonts w:ascii="Tahoma" w:hAnsi="Tahoma"/>
      <w:sz w:val="22"/>
      <w:szCs w:val="20"/>
    </w:rPr>
  </w:style>
  <w:style w:type="paragraph" w:styleId="Prrafodelista">
    <w:name w:val="List Paragraph"/>
    <w:basedOn w:val="Normal"/>
    <w:qFormat/>
    <w:rsid w:val="006F1607"/>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6F1607"/>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6F160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F1607"/>
    <w:rPr>
      <w:rFonts w:cs="Times New Roman"/>
      <w:vertAlign w:val="superscript"/>
    </w:rPr>
  </w:style>
  <w:style w:type="paragraph" w:styleId="Encabezado">
    <w:name w:val="header"/>
    <w:aliases w:val="maria,h"/>
    <w:basedOn w:val="Normal"/>
    <w:link w:val="EncabezadoCar"/>
    <w:uiPriority w:val="99"/>
    <w:unhideWhenUsed/>
    <w:rsid w:val="00E7217D"/>
    <w:pPr>
      <w:tabs>
        <w:tab w:val="center" w:pos="4252"/>
        <w:tab w:val="right" w:pos="8504"/>
      </w:tabs>
    </w:pPr>
  </w:style>
  <w:style w:type="character" w:customStyle="1" w:styleId="EncabezadoCar">
    <w:name w:val="Encabezado Car"/>
    <w:aliases w:val="maria Car,h Car"/>
    <w:basedOn w:val="Fuentedeprrafopredeter"/>
    <w:link w:val="Encabezado"/>
    <w:uiPriority w:val="99"/>
    <w:rsid w:val="00E7217D"/>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E7217D"/>
    <w:pPr>
      <w:tabs>
        <w:tab w:val="center" w:pos="4252"/>
        <w:tab w:val="right" w:pos="8504"/>
      </w:tabs>
    </w:pPr>
  </w:style>
  <w:style w:type="character" w:customStyle="1" w:styleId="PiedepginaCar">
    <w:name w:val="Pie de página Car"/>
    <w:basedOn w:val="Fuentedeprrafopredeter"/>
    <w:link w:val="Piedepgina"/>
    <w:uiPriority w:val="99"/>
    <w:rsid w:val="00E7217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2823</Words>
  <Characters>15529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4</cp:revision>
  <cp:lastPrinted>2011-03-30T19:21:00Z</cp:lastPrinted>
  <dcterms:created xsi:type="dcterms:W3CDTF">2011-03-30T19:15:00Z</dcterms:created>
  <dcterms:modified xsi:type="dcterms:W3CDTF">2011-04-11T17:47:00Z</dcterms:modified>
</cp:coreProperties>
</file>